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AA0" w:rsidRPr="00245B95" w:rsidRDefault="005846AF">
      <w:pPr>
        <w:rPr>
          <w:b/>
          <w:sz w:val="28"/>
          <w:szCs w:val="28"/>
        </w:rPr>
      </w:pPr>
      <w:bookmarkStart w:id="0" w:name="_GoBack"/>
      <w:bookmarkEnd w:id="0"/>
      <w:r w:rsidRPr="00245B95">
        <w:rPr>
          <w:b/>
          <w:sz w:val="28"/>
          <w:szCs w:val="28"/>
        </w:rPr>
        <w:t>Context</w:t>
      </w:r>
      <w:r w:rsidR="00245B95" w:rsidRPr="00245B95">
        <w:rPr>
          <w:b/>
          <w:sz w:val="28"/>
          <w:szCs w:val="28"/>
        </w:rPr>
        <w:t>o financiero internacional 2017</w:t>
      </w:r>
    </w:p>
    <w:p w:rsidR="00642B5A" w:rsidRPr="00B947F1" w:rsidRDefault="00352CE2">
      <w:r>
        <w:rPr>
          <w:szCs w:val="24"/>
        </w:rPr>
        <w:t xml:space="preserve">Los expertos del </w:t>
      </w:r>
      <w:r w:rsidR="001550C5">
        <w:t xml:space="preserve"> Banco de Inglaterra </w:t>
      </w:r>
      <w:r w:rsidR="00642B5A">
        <w:t xml:space="preserve"> Glenn Hogarth,</w:t>
      </w:r>
      <w:r w:rsidR="002C4AA0">
        <w:t xml:space="preserve"> </w:t>
      </w:r>
      <w:r w:rsidR="00642B5A">
        <w:t xml:space="preserve">Carsten Jung y Dennis Reinhardt </w:t>
      </w:r>
      <w:r>
        <w:t xml:space="preserve"> han publicado en octubre de 2016 un valioso informe titulado </w:t>
      </w:r>
      <w:r w:rsidR="00642B5A">
        <w:t xml:space="preserve"> </w:t>
      </w:r>
      <w:r w:rsidR="00F87D59" w:rsidRPr="00642B5A">
        <w:t>“T</w:t>
      </w:r>
      <w:r>
        <w:t>h</w:t>
      </w:r>
      <w:r w:rsidR="00F87D59" w:rsidRPr="00642B5A">
        <w:t>e good,</w:t>
      </w:r>
      <w:r w:rsidR="00136C04">
        <w:t xml:space="preserve"> </w:t>
      </w:r>
      <w:r w:rsidR="00F87D59" w:rsidRPr="00642B5A">
        <w:t>the bad and the bubbly”</w:t>
      </w:r>
      <w:r w:rsidR="00642B5A">
        <w:t xml:space="preserve">. </w:t>
      </w:r>
      <w:r>
        <w:t xml:space="preserve">Ver: </w:t>
      </w:r>
      <w:hyperlink r:id="rId5" w:history="1">
        <w:r w:rsidR="00642B5A" w:rsidRPr="00B947F1">
          <w:rPr>
            <w:rStyle w:val="Hipervnculo"/>
          </w:rPr>
          <w:t>http://www.bankofengland.co.uk/financialstability/Documents/fpc/fspapers/fs_paper40.pdf</w:t>
        </w:r>
      </w:hyperlink>
    </w:p>
    <w:p w:rsidR="00352CE2" w:rsidRDefault="00352CE2">
      <w:r>
        <w:t>Citamos las principales conclusiones:</w:t>
      </w:r>
    </w:p>
    <w:p w:rsidR="00F87D59" w:rsidRDefault="00F87D59">
      <w:r w:rsidRPr="00F87D59">
        <w:t xml:space="preserve">Si, por un lado la </w:t>
      </w:r>
      <w:r w:rsidR="00642B5A">
        <w:t>I</w:t>
      </w:r>
      <w:r w:rsidR="004D4407">
        <w:t>nversió</w:t>
      </w:r>
      <w:r w:rsidRPr="00F87D59">
        <w:t>n Externa Directa y los fl</w:t>
      </w:r>
      <w:r w:rsidR="00E42177">
        <w:t>u</w:t>
      </w:r>
      <w:r w:rsidRPr="00F87D59">
        <w:t xml:space="preserve">jos de acciones muestran cierta </w:t>
      </w:r>
      <w:r w:rsidR="00245B95" w:rsidRPr="00F87D59">
        <w:t>estabilidad,</w:t>
      </w:r>
      <w:r>
        <w:t xml:space="preserve"> los flujos de deuda en moneda extranjera  son m</w:t>
      </w:r>
      <w:r w:rsidR="004D4407">
        <w:t>á</w:t>
      </w:r>
      <w:r>
        <w:t>s propicios a l</w:t>
      </w:r>
      <w:r w:rsidR="00A26B37">
        <w:t xml:space="preserve">as fuertes alzas y caídas bruscas </w:t>
      </w:r>
      <w:r>
        <w:t xml:space="preserve"> y m</w:t>
      </w:r>
      <w:r w:rsidR="004D4407">
        <w:t>á</w:t>
      </w:r>
      <w:r>
        <w:t>s sensible</w:t>
      </w:r>
      <w:r w:rsidR="004D4407">
        <w:t xml:space="preserve">s </w:t>
      </w:r>
      <w:r>
        <w:t xml:space="preserve"> a factores externos, especialmente a los cambios en los riesgos globales y a los cambios en</w:t>
      </w:r>
      <w:r w:rsidR="00245B95">
        <w:t xml:space="preserve"> el crecimiento del crédito domé</w:t>
      </w:r>
      <w:r>
        <w:t>stico.”….”En contextos de deuda externa  alta y mercados financieros reducidos en los países emergentes los</w:t>
      </w:r>
      <w:r w:rsidR="00245B95">
        <w:t xml:space="preserve"> fondos de inversión en esos paí</w:t>
      </w:r>
      <w:r>
        <w:t>ses son propicios a l</w:t>
      </w:r>
      <w:r w:rsidR="00A26B37">
        <w:t xml:space="preserve">as  </w:t>
      </w:r>
      <w:r w:rsidR="00245B95">
        <w:t>fluctuaciones  entre alzas y caí</w:t>
      </w:r>
      <w:r w:rsidR="00A26B37">
        <w:t>das bruscas.</w:t>
      </w:r>
      <w:r>
        <w:t xml:space="preserve">” </w:t>
      </w:r>
    </w:p>
    <w:p w:rsidR="001550C5" w:rsidRDefault="00245B95">
      <w:r>
        <w:t>Tambié</w:t>
      </w:r>
      <w:r w:rsidR="00F87D59">
        <w:t>n es oportuno t</w:t>
      </w:r>
      <w:r w:rsidR="00642B5A">
        <w:t>e</w:t>
      </w:r>
      <w:r w:rsidR="00F87D59">
        <w:t>ner en cuenta la observación de Ghosh, Ostry y Qureshi: “</w:t>
      </w:r>
      <w:r w:rsidR="00A26B37">
        <w:t xml:space="preserve">los aumentos fuertes </w:t>
      </w:r>
      <w:r w:rsidR="00F87D59">
        <w:t xml:space="preserve"> en los flujos de  capital son seguidos, en el 20 % de las veces por crisis financieras </w:t>
      </w:r>
      <w:r w:rsidR="00E42177">
        <w:t xml:space="preserve">y </w:t>
      </w:r>
      <w:r w:rsidR="00F87D59">
        <w:t>a</w:t>
      </w:r>
      <w:r w:rsidR="001550C5" w:rsidRPr="00F87D59">
        <w:t xml:space="preserve"> </w:t>
      </w:r>
      <w:r w:rsidR="00E42177">
        <w:t xml:space="preserve">menudo están asociados con grandes caídas de </w:t>
      </w:r>
      <w:r w:rsidR="00A26B37">
        <w:t xml:space="preserve">la </w:t>
      </w:r>
      <w:r>
        <w:t>producción</w:t>
      </w:r>
      <w:r w:rsidR="00E42177">
        <w:t>”.</w:t>
      </w:r>
    </w:p>
    <w:p w:rsidR="00E42177" w:rsidRDefault="00E42177">
      <w:r>
        <w:t>Los grandes ingresos de capital, especialmente como flujos proveni</w:t>
      </w:r>
      <w:r w:rsidR="00245B95">
        <w:t>entes de bancos internacionales</w:t>
      </w:r>
      <w:r>
        <w:t>, están relacionados  en manera fuertemente positiva con factores globales.</w:t>
      </w:r>
    </w:p>
    <w:p w:rsidR="00E42177" w:rsidRDefault="00E42177">
      <w:pPr>
        <w:rPr>
          <w:b/>
        </w:rPr>
      </w:pPr>
      <w:r>
        <w:t>Los factores globales cobran cada vez mayor preeminencia en un mundo donde las dimensiones de los pa</w:t>
      </w:r>
      <w:r w:rsidR="00EE68C8">
        <w:t>si</w:t>
      </w:r>
      <w:r>
        <w:t>vos externos (gross external liabilities) pasaron en las economías emergentes del 8% del PBI</w:t>
      </w:r>
      <w:r w:rsidR="00642B5A">
        <w:t xml:space="preserve"> global </w:t>
      </w:r>
      <w:r>
        <w:t>en 1982 al 20% en 2014 y en las economías avanzadas del 20% del PBI en 1982 al ….</w:t>
      </w:r>
      <w:r w:rsidRPr="00E42177">
        <w:rPr>
          <w:b/>
        </w:rPr>
        <w:t>160% del PBI</w:t>
      </w:r>
      <w:r w:rsidR="00642B5A">
        <w:rPr>
          <w:b/>
        </w:rPr>
        <w:t xml:space="preserve"> global </w:t>
      </w:r>
      <w:r w:rsidRPr="00E42177">
        <w:rPr>
          <w:b/>
        </w:rPr>
        <w:t xml:space="preserve"> en 2014.</w:t>
      </w:r>
    </w:p>
    <w:p w:rsidR="00EE68C8" w:rsidRDefault="00EE68C8">
      <w:r>
        <w:t xml:space="preserve">Helene Ray (2015) por su parte, observa que los factores comunes globales  que determinan las crisis financieras están </w:t>
      </w:r>
      <w:r w:rsidR="008D78C0">
        <w:t>piloteados</w:t>
      </w:r>
      <w:r>
        <w:t xml:space="preserve">  primariamente por la política monetaria de EEUU. Una advertencia a tener en cuenta al tiempo presente en que la política monetaria que se anticipa y se anuncia en EEUU vaticina  un dólar fuerte y un sostenido reflujo de capitales hacia </w:t>
      </w:r>
      <w:r w:rsidR="00245B95">
        <w:t xml:space="preserve">EEUU. </w:t>
      </w:r>
      <w:r>
        <w:t xml:space="preserve">(Los depositantes de UBS en Suiza retiraron U$S  15.000 millones </w:t>
      </w:r>
      <w:r w:rsidR="008D78C0">
        <w:t xml:space="preserve">solo </w:t>
      </w:r>
      <w:r>
        <w:t xml:space="preserve">en diciembre de 2016 y los del  </w:t>
      </w:r>
      <w:r w:rsidR="003B70D8">
        <w:t xml:space="preserve">Banco Popular </w:t>
      </w:r>
      <w:r>
        <w:t xml:space="preserve"> en España  Euro  3.900 millones en el mismo periodo. Bloomberg)   </w:t>
      </w:r>
      <w:r w:rsidR="003B70D8">
        <w:t>.</w:t>
      </w:r>
    </w:p>
    <w:p w:rsidR="003B70D8" w:rsidRDefault="003B70D8">
      <w:r>
        <w:t>Un estudio de la OCDE publicado en Noviembre de 2016 indica “en el contexto en el cual la deuda p</w:t>
      </w:r>
      <w:r w:rsidR="004D4407">
        <w:t>ú</w:t>
      </w:r>
      <w:r>
        <w:t xml:space="preserve">blica ha alcanzado altos niveles en la mayoría de los países de la OCDE es importante evaluar  la extensión del espacio fiscal de esos países y el aumento temporario del déficit que pueden soportar. Un nuevo análisis </w:t>
      </w:r>
      <w:r w:rsidR="00245B95">
        <w:t>es necesario sobre có</w:t>
      </w:r>
      <w:r>
        <w:t>mo la instancia de la polí</w:t>
      </w:r>
      <w:r w:rsidR="00245B95">
        <w:t>tica fiscal deberá ser evaluada</w:t>
      </w:r>
      <w:r>
        <w:t>, particularmente en un contexto de tasas soberanas muy bajas.</w:t>
      </w:r>
      <w:r w:rsidR="00642B5A">
        <w:t>”</w:t>
      </w:r>
    </w:p>
    <w:p w:rsidR="00391FAC" w:rsidRDefault="00245B95">
      <w:r>
        <w:lastRenderedPageBreak/>
        <w:t>Así</w:t>
      </w:r>
      <w:r w:rsidR="00391FAC">
        <w:t xml:space="preserve"> , no sorprende que Stijn Claessens  (asesor senior de la Reserva Federal) señale que si bien “mucha evidencia sostiene los beneficios a largo plazo de una cuenta de capital abierta (Kose y otros en 2009) … es crecientemente reconocido que puede haber externalidades transfronterizas negativas  y efectos adversos e</w:t>
      </w:r>
      <w:r>
        <w:t>n la estabilidad financiera doméstica que requieran</w:t>
      </w:r>
      <w:r w:rsidR="00391FAC">
        <w:t>,</w:t>
      </w:r>
      <w:r>
        <w:t xml:space="preserve"> </w:t>
      </w:r>
      <w:r w:rsidR="00391FAC">
        <w:t xml:space="preserve">posiblemente, el uso de herramientas de gestión de flujo de capitales (CFMs </w:t>
      </w:r>
      <w:r w:rsidR="00D104A2">
        <w:t xml:space="preserve">abreviatura de </w:t>
      </w:r>
      <w:r w:rsidR="00391FAC">
        <w:t xml:space="preserve">capital flow management </w:t>
      </w:r>
      <w:r w:rsidR="00D104A2">
        <w:t>to</w:t>
      </w:r>
      <w:r w:rsidR="00642B5A">
        <w:t>ol</w:t>
      </w:r>
      <w:r>
        <w:t xml:space="preserve">s) </w:t>
      </w:r>
      <w:r w:rsidR="00391FAC">
        <w:t>y políticas macroprudenciales</w:t>
      </w:r>
      <w:r w:rsidR="00D104A2">
        <w:t xml:space="preserve"> (MAPs por macroprudential policies)</w:t>
      </w:r>
      <w:r w:rsidR="00391FAC">
        <w:t>.</w:t>
      </w:r>
    </w:p>
    <w:p w:rsidR="004D4407" w:rsidRDefault="004D4407">
      <w:r>
        <w:t>S</w:t>
      </w:r>
      <w:r w:rsidR="00E4330E">
        <w:t>í</w:t>
      </w:r>
      <w:r>
        <w:t xml:space="preserve">ntesis  en  español por </w:t>
      </w:r>
      <w:r w:rsidRPr="00E4330E">
        <w:rPr>
          <w:b/>
        </w:rPr>
        <w:t>Ileana Di Giovan</w:t>
      </w:r>
      <w:r>
        <w:t>.</w:t>
      </w:r>
    </w:p>
    <w:p w:rsidR="004D4407" w:rsidRDefault="004D4407">
      <w:r>
        <w:t>Febrero 2017.</w:t>
      </w:r>
    </w:p>
    <w:p w:rsidR="004D4407" w:rsidRDefault="004D4407"/>
    <w:sectPr w:rsidR="004D4407" w:rsidSect="00553B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0C5"/>
    <w:rsid w:val="000814C1"/>
    <w:rsid w:val="00136C04"/>
    <w:rsid w:val="001550C5"/>
    <w:rsid w:val="00197AE3"/>
    <w:rsid w:val="00245B95"/>
    <w:rsid w:val="002C4AA0"/>
    <w:rsid w:val="002F53CC"/>
    <w:rsid w:val="00352CE2"/>
    <w:rsid w:val="00353A7A"/>
    <w:rsid w:val="00391FAC"/>
    <w:rsid w:val="003B70D8"/>
    <w:rsid w:val="0045766D"/>
    <w:rsid w:val="004B4B81"/>
    <w:rsid w:val="004D4407"/>
    <w:rsid w:val="00505F06"/>
    <w:rsid w:val="00546D37"/>
    <w:rsid w:val="00553B09"/>
    <w:rsid w:val="005846AF"/>
    <w:rsid w:val="005A506C"/>
    <w:rsid w:val="00642B5A"/>
    <w:rsid w:val="007F559A"/>
    <w:rsid w:val="0087519B"/>
    <w:rsid w:val="008D78C0"/>
    <w:rsid w:val="00923693"/>
    <w:rsid w:val="00A26B37"/>
    <w:rsid w:val="00B1239A"/>
    <w:rsid w:val="00B77B47"/>
    <w:rsid w:val="00B947F1"/>
    <w:rsid w:val="00BC25D1"/>
    <w:rsid w:val="00BD4082"/>
    <w:rsid w:val="00C4373F"/>
    <w:rsid w:val="00D104A2"/>
    <w:rsid w:val="00D55231"/>
    <w:rsid w:val="00DC745A"/>
    <w:rsid w:val="00E42177"/>
    <w:rsid w:val="00E4330E"/>
    <w:rsid w:val="00E95EA9"/>
    <w:rsid w:val="00EE117F"/>
    <w:rsid w:val="00EE68C8"/>
    <w:rsid w:val="00F46175"/>
    <w:rsid w:val="00F8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2B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5B9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42B5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45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nkofengland.co.uk/financialstability/Documents/fpc/fspapers/fs_paper4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Ileana</dc:creator>
  <cp:lastModifiedBy>Ileana</cp:lastModifiedBy>
  <cp:revision>3</cp:revision>
  <dcterms:created xsi:type="dcterms:W3CDTF">2017-03-06T12:07:00Z</dcterms:created>
  <dcterms:modified xsi:type="dcterms:W3CDTF">2017-03-06T13:00:00Z</dcterms:modified>
</cp:coreProperties>
</file>